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73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4"/>
        <w:gridCol w:w="4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644" w:type="dxa"/>
          </w:tcPr>
          <w:p>
            <w:pPr>
              <w:spacing w:line="0" w:lineRule="atLeast"/>
              <w:jc w:val="both"/>
              <w:rPr>
                <w:rFonts w:ascii="微软雅黑" w:hAnsi="微软雅黑" w:eastAsia="微软雅黑"/>
                <w:sz w:val="48"/>
                <w:szCs w:val="32"/>
              </w:rPr>
            </w:pPr>
            <w:r>
              <w:rPr>
                <w:rFonts w:hint="eastAsia" w:ascii="微软雅黑" w:hAnsi="微软雅黑" w:eastAsia="微软雅黑" w:cs="华文细黑"/>
                <w:b/>
                <w:bCs/>
                <w:color w:val="3D85C6"/>
                <w:sz w:val="48"/>
                <w:szCs w:val="32"/>
              </w:rPr>
              <w:t>赵阔</w:t>
            </w:r>
          </w:p>
        </w:tc>
        <w:tc>
          <w:tcPr>
            <w:tcW w:w="4029" w:type="dxa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0" distR="0">
                  <wp:extent cx="1494790" cy="1484630"/>
                  <wp:effectExtent l="0" t="0" r="0" b="1270"/>
                  <wp:docPr id="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660" cy="150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673" w:type="dxa"/>
            <w:gridSpan w:val="2"/>
            <w:tcBorders>
              <w:top w:val="single" w:color="8496B0" w:themeColor="text2" w:themeTint="99" w:sz="4" w:space="0"/>
            </w:tcBorders>
          </w:tcPr>
          <w:p>
            <w:pPr>
              <w:spacing w:before="163" w:beforeLines="50" w:after="163" w:afterLines="50" w:line="0" w:lineRule="atLeast"/>
              <w:jc w:val="both"/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u w:val="single"/>
              </w:rPr>
              <w:t>基本情况</w:t>
            </w:r>
            <w:r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0" w:lineRule="atLeast"/>
              <w:ind w:firstLine="420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赵阔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，男，汉族，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1977年1月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出生，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2008年12月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获得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吉林大学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计算机软件与理论专业博士学位。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2010年10月被破格聘为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吉林大学计算机科学与技术学院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副教授，主要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研究方向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包括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网络空间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安全、大数据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处理技术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、云计算、物联网等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。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科研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方面，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主持多项国家级和省部级重大科技项目，发表学术论文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70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余篇。获得包括教育部科技进步奖一等奖、吉林省科技进步奖一等奖在内的省部级一等奖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项。教学方面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充分发挥学科交叉融合对培养本科拔尖创新人才的引领作用，促进教学与科研的有机结合，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获得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国家级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教学成果二等奖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1项、吉林省教学成果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一等奖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1项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是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吉林省优秀教学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团队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骨干成员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。</w:t>
            </w:r>
          </w:p>
          <w:p>
            <w:pPr>
              <w:spacing w:line="0" w:lineRule="atLeast"/>
              <w:ind w:firstLine="420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积极参与产学研合作与科技成果转化工作，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作为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吉林省首批科技特派员，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为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吉林省多家高科技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信息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公司与企业提供技术支持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与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服务，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在大数据、云计算、物联网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等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国家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重大战略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规划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方面已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积累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多项技术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。积极响应国家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“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大众创业 万众创新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”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的号召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指导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本科生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实施“中国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卵巢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肿瘤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诊疗云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”初创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项目，并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获得首届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吉林省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“互联网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+”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大学生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创新创业大赛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金奖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。</w:t>
            </w:r>
          </w:p>
          <w:p>
            <w:pPr>
              <w:spacing w:before="163" w:beforeLines="50" w:after="163" w:afterLines="50" w:line="0" w:lineRule="atLeast"/>
              <w:jc w:val="both"/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u w:val="single"/>
              </w:rPr>
              <w:t>主要教育、工作</w:t>
            </w:r>
            <w:r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  <w:t xml:space="preserve">经历                                                                       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1997.09-2001.06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吉林大学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计算机科学系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计算机软件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本科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2001.07-2004.06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吉林大学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计算机科学与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技术学院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计算机系统结构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硕士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2004.07-2008.12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吉林大学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计算机科学与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技术学院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计算机软件与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理论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博士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2004.06-2006.09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吉林大学 计算机科学与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技术学院          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助教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2006.10-2010.09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吉林大学 计算机科学与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技术学院          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讲师</w:t>
            </w:r>
          </w:p>
          <w:p>
            <w:pPr>
              <w:spacing w:line="0" w:lineRule="atLeast"/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2010.10-</w:t>
            </w:r>
            <w:r>
              <w:rPr>
                <w:rFonts w:hint="eastAsia" w:ascii="微软雅黑" w:hAnsi="微软雅黑" w:eastAsia="微软雅黑" w:cs="Tahoma"/>
                <w:color w:val="444444"/>
                <w:sz w:val="21"/>
                <w:szCs w:val="21"/>
              </w:rPr>
              <w:t>至今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</w:t>
            </w:r>
            <w:r>
              <w:rPr>
                <w:rFonts w:ascii="微软雅黑" w:hAnsi="微软雅黑" w:eastAsia="微软雅黑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吉林大学 计算机科学与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技术学院        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副教授</w:t>
            </w:r>
          </w:p>
          <w:p>
            <w:pPr>
              <w:spacing w:before="163" w:beforeLines="50" w:after="163" w:afterLines="50" w:line="0" w:lineRule="atLeast"/>
              <w:jc w:val="both"/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u w:val="single"/>
              </w:rPr>
              <w:t>主要荣誉</w:t>
            </w:r>
            <w:r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  <w:t>称号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u w:val="single"/>
              </w:rPr>
              <w:t>与</w:t>
            </w:r>
            <w:r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  <w:t xml:space="preserve">社会兼职                                                             </w:t>
            </w:r>
          </w:p>
          <w:p>
            <w:pPr>
              <w:spacing w:before="163" w:beforeLines="50"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2012.12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第三批拔尖创新人才          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吉林省政府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2016.09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吉林省中青年科技创新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团队领军人才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吉林省科技厅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444444"/>
                <w:sz w:val="21"/>
                <w:szCs w:val="21"/>
              </w:rPr>
              <w:t>2015</w:t>
            </w: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 xml:space="preserve">.01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吉林省重要计算机信息系统安全保护专家                  吉林省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公安厅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444444"/>
                <w:sz w:val="21"/>
                <w:szCs w:val="21"/>
              </w:rPr>
              <w:t>2012</w:t>
            </w: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.09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首批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“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高校科研春苗人才”  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教育厅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444444"/>
                <w:sz w:val="21"/>
                <w:szCs w:val="21"/>
              </w:rPr>
              <w:t>2009</w:t>
            </w: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 xml:space="preserve">.12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吉林省首批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“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科技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特派员”        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吉林省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科技厅</w:t>
            </w:r>
          </w:p>
          <w:p>
            <w:pPr>
              <w:spacing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444444"/>
                <w:sz w:val="21"/>
                <w:szCs w:val="21"/>
              </w:rPr>
              <w:t>201</w:t>
            </w: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6.06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中国网络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空间安全协会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                             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青年专家</w:t>
            </w:r>
          </w:p>
          <w:p>
            <w:pPr>
              <w:spacing w:line="0" w:lineRule="atLeast"/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ahoma"/>
                <w:color w:val="444444"/>
                <w:sz w:val="21"/>
                <w:szCs w:val="21"/>
              </w:rPr>
              <w:t>201</w:t>
            </w: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4.05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中国电子学会计算机取证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专家委员会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            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委员</w:t>
            </w:r>
          </w:p>
          <w:p>
            <w:pPr>
              <w:spacing w:before="163" w:beforeLines="50" w:after="163" w:afterLines="50" w:line="0" w:lineRule="atLeast"/>
              <w:jc w:val="both"/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u w:val="single"/>
              </w:rPr>
              <w:t>知识产权</w:t>
            </w:r>
            <w:r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before="163" w:beforeLines="50" w:line="0" w:lineRule="atLeas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2011.05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一种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自适应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高速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网络流量分层抽样采集方法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（ZL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200810051322.X）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中国发明专利</w:t>
            </w:r>
          </w:p>
          <w:p>
            <w:pPr>
              <w:spacing w:line="0" w:lineRule="atLeast"/>
              <w:ind w:left="3150" w:hanging="3150" w:hangingChars="15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2013.02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商品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双重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防伪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方法及系统（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ZL</w:t>
            </w:r>
            <w:r>
              <w:rPr>
                <w:rFonts w:ascii="微软雅黑" w:hAnsi="微软雅黑" w:eastAsia="微软雅黑"/>
                <w:sz w:val="21"/>
                <w:szCs w:val="21"/>
              </w:rPr>
              <w:t xml:space="preserve">2010105779875）            </w:t>
            </w:r>
            <w:r>
              <w:rPr>
                <w:rFonts w:ascii="微软雅黑" w:hAnsi="微软雅黑" w:eastAsia="微软雅黑"/>
                <w:spacing w:val="-20"/>
                <w:sz w:val="21"/>
                <w:szCs w:val="21"/>
              </w:rPr>
              <w:t xml:space="preserve">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中国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发明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专利</w:t>
            </w:r>
          </w:p>
          <w:p>
            <w:pPr>
              <w:spacing w:line="0" w:lineRule="atLeast"/>
              <w:ind w:left="3150" w:hanging="3150" w:hangingChars="15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color w:val="444444"/>
                <w:sz w:val="21"/>
                <w:szCs w:val="21"/>
              </w:rPr>
              <w:t>2010.01-至今</w:t>
            </w:r>
            <w:r>
              <w:rPr>
                <w:rFonts w:hint="eastAsia" w:ascii="微软雅黑" w:hAnsi="微软雅黑" w:eastAsia="微软雅黑" w:cs="Tahoma"/>
                <w:color w:val="444444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12项计算机软件著作权</w:t>
            </w:r>
          </w:p>
          <w:p>
            <w:pPr>
              <w:spacing w:line="0" w:lineRule="atLeast"/>
              <w:ind w:left="3150" w:hanging="3150" w:hangingChars="1500"/>
              <w:rPr>
                <w:rFonts w:ascii="微软雅黑" w:hAnsi="微软雅黑" w:eastAsia="微软雅黑"/>
                <w:sz w:val="21"/>
                <w:szCs w:val="21"/>
              </w:rPr>
            </w:pPr>
          </w:p>
          <w:p>
            <w:pPr>
              <w:spacing w:before="163" w:beforeLines="50" w:after="163" w:afterLines="50" w:line="0" w:lineRule="atLeast"/>
              <w:jc w:val="both"/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u w:val="single"/>
              </w:rPr>
              <w:t>成熟技术</w:t>
            </w:r>
            <w:r>
              <w:rPr>
                <w:rFonts w:ascii="微软雅黑" w:hAnsi="微软雅黑" w:eastAsia="微软雅黑"/>
                <w:color w:val="2E75B6" w:themeColor="accent1" w:themeShade="BF"/>
                <w:u w:val="single"/>
              </w:rPr>
              <w:t xml:space="preserve">及应用                                                                       </w:t>
            </w:r>
          </w:p>
          <w:p>
            <w:pPr>
              <w:pStyle w:val="10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基于PC集群</w:t>
            </w:r>
            <w:r>
              <w:rPr>
                <w:rFonts w:ascii="微软雅黑" w:hAnsi="微软雅黑" w:eastAsia="微软雅黑"/>
              </w:rPr>
              <w:t>的私有云方案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基于普通</w:t>
            </w:r>
            <w:r>
              <w:rPr>
                <w:rFonts w:ascii="微软雅黑" w:hAnsi="微软雅黑" w:eastAsia="微软雅黑"/>
              </w:rPr>
              <w:t>PC</w:t>
            </w:r>
            <w:r>
              <w:rPr>
                <w:rFonts w:hint="eastAsia" w:ascii="微软雅黑" w:hAnsi="微软雅黑" w:eastAsia="微软雅黑"/>
              </w:rPr>
              <w:t>集群</w:t>
            </w:r>
            <w:r>
              <w:rPr>
                <w:rFonts w:ascii="微软雅黑" w:hAnsi="微软雅黑" w:eastAsia="微软雅黑"/>
              </w:rPr>
              <w:t>构建高性能计算服务器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可扩展的NAS网路</w:t>
            </w:r>
            <w:r>
              <w:rPr>
                <w:rFonts w:ascii="微软雅黑" w:hAnsi="微软雅黑" w:eastAsia="微软雅黑"/>
              </w:rPr>
              <w:t>存储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基于Docker实现</w:t>
            </w:r>
            <w:r>
              <w:rPr>
                <w:rFonts w:ascii="微软雅黑" w:hAnsi="微软雅黑" w:eastAsia="微软雅黑"/>
              </w:rPr>
              <w:t>Hadoop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Spark</w:t>
            </w:r>
            <w:r>
              <w:rPr>
                <w:rFonts w:hint="eastAsia" w:ascii="微软雅黑" w:hAnsi="微软雅黑" w:eastAsia="微软雅黑"/>
              </w:rPr>
              <w:t>、Storm</w:t>
            </w:r>
            <w:r>
              <w:rPr>
                <w:rFonts w:ascii="微软雅黑" w:hAnsi="微软雅黑" w:eastAsia="微软雅黑"/>
              </w:rPr>
              <w:t>等</w:t>
            </w:r>
            <w:r>
              <w:rPr>
                <w:rFonts w:hint="eastAsia" w:ascii="微软雅黑" w:hAnsi="微软雅黑" w:eastAsia="微软雅黑"/>
              </w:rPr>
              <w:t>大数据</w:t>
            </w:r>
            <w:r>
              <w:rPr>
                <w:rFonts w:ascii="微软雅黑" w:hAnsi="微软雅黑" w:eastAsia="微软雅黑"/>
              </w:rPr>
              <w:t>平台的整合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企业</w:t>
            </w:r>
            <w:r>
              <w:rPr>
                <w:rFonts w:ascii="微软雅黑" w:hAnsi="微软雅黑" w:eastAsia="微软雅黑"/>
              </w:rPr>
              <w:t>Web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FTP</w:t>
            </w:r>
            <w:r>
              <w:rPr>
                <w:rFonts w:hint="eastAsia" w:ascii="微软雅黑" w:hAnsi="微软雅黑" w:eastAsia="微软雅黑"/>
              </w:rPr>
              <w:t>等</w:t>
            </w:r>
            <w:r>
              <w:rPr>
                <w:rFonts w:ascii="微软雅黑" w:hAnsi="微软雅黑" w:eastAsia="微软雅黑"/>
              </w:rPr>
              <w:t>服务的灵活发布</w:t>
            </w:r>
          </w:p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基于信息物理融合</w:t>
            </w:r>
            <w:r>
              <w:rPr>
                <w:rFonts w:ascii="微软雅黑" w:hAnsi="微软雅黑" w:eastAsia="微软雅黑"/>
              </w:rPr>
              <w:t>系统（</w:t>
            </w:r>
            <w:r>
              <w:rPr>
                <w:rFonts w:hint="eastAsia" w:ascii="微软雅黑" w:hAnsi="微软雅黑" w:eastAsia="微软雅黑"/>
              </w:rPr>
              <w:t>CPS</w:t>
            </w:r>
            <w:r>
              <w:rPr>
                <w:rFonts w:ascii="微软雅黑" w:hAnsi="微软雅黑" w:eastAsia="微软雅黑"/>
              </w:rPr>
              <w:t>）的</w:t>
            </w:r>
            <w:r>
              <w:rPr>
                <w:rFonts w:hint="eastAsia" w:ascii="微软雅黑" w:hAnsi="微软雅黑" w:eastAsia="微软雅黑"/>
              </w:rPr>
              <w:t>智能</w:t>
            </w:r>
            <w:r>
              <w:rPr>
                <w:rFonts w:ascii="微软雅黑" w:hAnsi="微软雅黑" w:eastAsia="微软雅黑"/>
              </w:rPr>
              <w:t>制造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作为</w:t>
            </w:r>
            <w:r>
              <w:rPr>
                <w:rFonts w:ascii="微软雅黑" w:hAnsi="微软雅黑" w:eastAsia="微软雅黑"/>
              </w:rPr>
              <w:t>核心成员参与国内首个</w:t>
            </w:r>
            <w:r>
              <w:rPr>
                <w:rFonts w:hint="eastAsia" w:ascii="微软雅黑" w:hAnsi="微软雅黑" w:eastAsia="微软雅黑"/>
              </w:rPr>
              <w:t>关于</w:t>
            </w:r>
            <w:r>
              <w:rPr>
                <w:rFonts w:ascii="微软雅黑" w:hAnsi="微软雅黑" w:eastAsia="微软雅黑"/>
              </w:rPr>
              <w:t>CPS的“863”</w:t>
            </w:r>
            <w:r>
              <w:rPr>
                <w:rFonts w:hint="eastAsia" w:ascii="微软雅黑" w:hAnsi="微软雅黑" w:eastAsia="微软雅黑"/>
              </w:rPr>
              <w:t>计划</w:t>
            </w:r>
            <w:r>
              <w:rPr>
                <w:rFonts w:ascii="微软雅黑" w:hAnsi="微软雅黑" w:eastAsia="微软雅黑"/>
              </w:rPr>
              <w:t>项目</w:t>
            </w:r>
            <w:r>
              <w:rPr>
                <w:rFonts w:hint="eastAsia" w:ascii="微软雅黑" w:hAnsi="微软雅黑" w:eastAsia="微软雅黑"/>
              </w:rPr>
              <w:t>，</w:t>
            </w:r>
            <w:r>
              <w:rPr>
                <w:rFonts w:ascii="微软雅黑" w:hAnsi="微软雅黑" w:eastAsia="微软雅黑"/>
              </w:rPr>
              <w:t>承担</w:t>
            </w:r>
            <w:r>
              <w:rPr>
                <w:rFonts w:hint="eastAsia" w:ascii="微软雅黑" w:hAnsi="微软雅黑" w:eastAsia="微软雅黑"/>
              </w:rPr>
              <w:t>CPS</w:t>
            </w:r>
            <w:r>
              <w:rPr>
                <w:rFonts w:ascii="微软雅黑" w:hAnsi="微软雅黑" w:eastAsia="微软雅黑"/>
              </w:rPr>
              <w:t>体系结构整体设计工作</w:t>
            </w:r>
            <w:r>
              <w:rPr>
                <w:rFonts w:hint="eastAsia" w:ascii="微软雅黑" w:hAnsi="微软雅黑" w:eastAsia="微软雅黑"/>
              </w:rPr>
              <w:t>，提出了基于</w:t>
            </w:r>
            <w:r>
              <w:rPr>
                <w:rFonts w:ascii="微软雅黑" w:hAnsi="微软雅黑" w:eastAsia="微软雅黑"/>
              </w:rPr>
              <w:t>SOA的CPS体系结构框架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主笔撰写</w:t>
            </w:r>
            <w:r>
              <w:rPr>
                <w:rFonts w:ascii="微软雅黑" w:hAnsi="微软雅黑" w:eastAsia="微软雅黑"/>
              </w:rPr>
              <w:t>CPS体系结构设计技术与工具的技术报告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面向</w:t>
            </w:r>
            <w:r>
              <w:rPr>
                <w:rFonts w:ascii="微软雅黑" w:hAnsi="微软雅黑" w:eastAsia="微软雅黑"/>
              </w:rPr>
              <w:t>城市交通车辆运控</w:t>
            </w:r>
            <w:r>
              <w:rPr>
                <w:rFonts w:hint="eastAsia" w:ascii="微软雅黑" w:hAnsi="微软雅黑" w:eastAsia="微软雅黑"/>
              </w:rPr>
              <w:t>仿真</w:t>
            </w:r>
            <w:r>
              <w:rPr>
                <w:rFonts w:ascii="微软雅黑" w:hAnsi="微软雅黑" w:eastAsia="微软雅黑"/>
              </w:rPr>
              <w:t>平台</w:t>
            </w:r>
            <w:r>
              <w:rPr>
                <w:rFonts w:hint="eastAsia" w:ascii="微软雅黑" w:hAnsi="微软雅黑" w:eastAsia="微软雅黑"/>
              </w:rPr>
              <w:t>的</w:t>
            </w:r>
            <w:r>
              <w:rPr>
                <w:rFonts w:ascii="微软雅黑" w:hAnsi="微软雅黑" w:eastAsia="微软雅黑"/>
              </w:rPr>
              <w:t>整合</w:t>
            </w:r>
          </w:p>
          <w:p>
            <w:pPr>
              <w:spacing w:line="0" w:lineRule="atLeast"/>
              <w:rPr>
                <w:rFonts w:hint="eastAsia" w:ascii="微软雅黑" w:hAnsi="微软雅黑" w:eastAsia="微软雅黑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分布式部署的多媒体信息存储云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媒体信息转发网关</w:t>
            </w:r>
            <w:r>
              <w:rPr>
                <w:rFonts w:hint="eastAsia" w:ascii="微软雅黑" w:hAnsi="微软雅黑" w:eastAsia="微软雅黑"/>
              </w:rPr>
              <w:t>，实现</w:t>
            </w:r>
            <w:r>
              <w:rPr>
                <w:rFonts w:ascii="微软雅黑" w:hAnsi="微软雅黑" w:eastAsia="微软雅黑"/>
              </w:rPr>
              <w:t>对互联网上合理、合法的高品质的文字、图片、音频和视频等媒体文件的抓取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实现分布式的虚拟存储资源池，</w:t>
            </w:r>
            <w:r>
              <w:rPr>
                <w:rFonts w:ascii="微软雅黑" w:hAnsi="微软雅黑" w:eastAsia="微软雅黑"/>
              </w:rPr>
              <w:t>所有的多媒体信息</w:t>
            </w:r>
            <w:r>
              <w:rPr>
                <w:rFonts w:hint="eastAsia" w:ascii="微软雅黑" w:hAnsi="微软雅黑" w:eastAsia="微软雅黑"/>
              </w:rPr>
              <w:t>文件</w:t>
            </w:r>
            <w:r>
              <w:rPr>
                <w:rFonts w:ascii="微软雅黑" w:hAnsi="微软雅黑" w:eastAsia="微软雅黑"/>
              </w:rPr>
              <w:t>可在任何一个节点上载至存储池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实现</w:t>
            </w:r>
            <w:r>
              <w:rPr>
                <w:rFonts w:ascii="微软雅黑" w:hAnsi="微软雅黑" w:eastAsia="微软雅黑"/>
              </w:rPr>
              <w:t>非结构化数据的高效存储与检索机制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提高吉视传媒在新媒体领域内服务能力</w:t>
            </w:r>
          </w:p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</w:t>
            </w:r>
            <w:r>
              <w:rPr>
                <w:rFonts w:ascii="微软雅黑" w:hAnsi="微软雅黑" w:eastAsia="微软雅黑"/>
              </w:rPr>
              <w:t>Storm的流</w:t>
            </w:r>
            <w:r>
              <w:rPr>
                <w:rFonts w:hint="eastAsia" w:ascii="微软雅黑" w:hAnsi="微软雅黑" w:eastAsia="微软雅黑"/>
              </w:rPr>
              <w:t>式大数据处理系统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</w:t>
            </w:r>
            <w:r>
              <w:rPr>
                <w:rFonts w:ascii="微软雅黑" w:hAnsi="微软雅黑" w:eastAsia="微软雅黑"/>
              </w:rPr>
              <w:t>Storm构建了</w:t>
            </w:r>
            <w:r>
              <w:rPr>
                <w:rFonts w:hint="eastAsia" w:ascii="微软雅黑" w:hAnsi="微软雅黑" w:eastAsia="微软雅黑"/>
              </w:rPr>
              <w:t>分布式流计算框架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采用分布式的Redis开源内存数据库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以</w:t>
            </w:r>
            <w:r>
              <w:rPr>
                <w:rFonts w:ascii="微软雅黑" w:hAnsi="微软雅黑" w:eastAsia="微软雅黑"/>
              </w:rPr>
              <w:t>南京市</w:t>
            </w:r>
            <w:r>
              <w:rPr>
                <w:rFonts w:hint="eastAsia" w:ascii="微软雅黑" w:hAnsi="微软雅黑" w:eastAsia="微软雅黑"/>
              </w:rPr>
              <w:t>7648台出租车共计约一千八百万条</w:t>
            </w:r>
            <w:r>
              <w:rPr>
                <w:rFonts w:ascii="微软雅黑" w:hAnsi="微软雅黑" w:eastAsia="微软雅黑"/>
              </w:rPr>
              <w:t>交通轨迹数据</w:t>
            </w:r>
            <w:r>
              <w:rPr>
                <w:rFonts w:hint="eastAsia" w:ascii="微软雅黑" w:hAnsi="微软雅黑" w:eastAsia="微软雅黑"/>
              </w:rPr>
              <w:t>对不同交通区域通行状况进行交叉验证预测</w:t>
            </w:r>
          </w:p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室内环境监测物联网原型</w:t>
            </w:r>
            <w:r>
              <w:rPr>
                <w:rFonts w:ascii="微软雅黑" w:hAnsi="微软雅黑" w:eastAsia="微软雅黑"/>
              </w:rPr>
              <w:t>系统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</w:t>
            </w:r>
            <w:r>
              <w:rPr>
                <w:rFonts w:ascii="微软雅黑" w:hAnsi="微软雅黑" w:eastAsia="微软雅黑"/>
              </w:rPr>
              <w:t>SOA</w:t>
            </w:r>
            <w:r>
              <w:rPr>
                <w:rFonts w:hint="eastAsia" w:ascii="微软雅黑" w:hAnsi="微软雅黑" w:eastAsia="微软雅黑"/>
              </w:rPr>
              <w:t>的物联网数据处理中间件平台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实现</w:t>
            </w:r>
            <w:r>
              <w:rPr>
                <w:rFonts w:ascii="微软雅黑" w:hAnsi="微软雅黑" w:eastAsia="微软雅黑"/>
              </w:rPr>
              <w:t>传感数据与互联网资源进行互联和交互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满足不同应用</w:t>
            </w:r>
            <w:r>
              <w:rPr>
                <w:rFonts w:hint="eastAsia" w:ascii="微软雅黑" w:hAnsi="微软雅黑" w:eastAsia="微软雅黑"/>
              </w:rPr>
              <w:t>场景中</w:t>
            </w:r>
            <w:r>
              <w:rPr>
                <w:rFonts w:ascii="微软雅黑" w:hAnsi="微软雅黑" w:eastAsia="微软雅黑"/>
              </w:rPr>
              <w:t>动态的需求变化</w:t>
            </w:r>
          </w:p>
          <w:p>
            <w:pPr>
              <w:spacing w:line="0" w:lineRule="atLeast"/>
              <w:rPr>
                <w:rFonts w:ascii="微软雅黑" w:hAnsi="微软雅黑" w:eastAsia="微软雅黑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在线个性化</w:t>
            </w:r>
            <w:r>
              <w:rPr>
                <w:rFonts w:ascii="微软雅黑" w:hAnsi="微软雅黑" w:eastAsia="微软雅黑"/>
              </w:rPr>
              <w:t>推荐</w:t>
            </w:r>
            <w:r>
              <w:rPr>
                <w:rFonts w:hint="eastAsia" w:ascii="微软雅黑" w:hAnsi="微软雅黑" w:eastAsia="微软雅黑"/>
              </w:rPr>
              <w:t>原型</w:t>
            </w:r>
            <w:r>
              <w:rPr>
                <w:rFonts w:ascii="微软雅黑" w:hAnsi="微软雅黑" w:eastAsia="微软雅黑"/>
              </w:rPr>
              <w:t>系统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基于异构</w:t>
            </w:r>
            <w:r>
              <w:rPr>
                <w:rFonts w:ascii="微软雅黑" w:hAnsi="微软雅黑" w:eastAsia="微软雅黑"/>
              </w:rPr>
              <w:t>信息网络（Heterogeneous information networks）</w:t>
            </w:r>
            <w:r>
              <w:rPr>
                <w:rFonts w:hint="eastAsia" w:ascii="微软雅黑" w:hAnsi="微软雅黑" w:eastAsia="微软雅黑"/>
              </w:rPr>
              <w:t>和</w:t>
            </w:r>
            <w:r>
              <w:rPr>
                <w:rFonts w:ascii="微软雅黑" w:hAnsi="微软雅黑" w:eastAsia="微软雅黑"/>
              </w:rPr>
              <w:t>知识图谱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从亚马逊在线销售的一千本图书的二十多万</w:t>
            </w:r>
            <w:r>
              <w:rPr>
                <w:rFonts w:ascii="微软雅黑" w:hAnsi="微软雅黑" w:eastAsia="微软雅黑"/>
              </w:rPr>
              <w:t>条</w:t>
            </w:r>
            <w:r>
              <w:rPr>
                <w:rFonts w:hint="eastAsia" w:ascii="微软雅黑" w:hAnsi="微软雅黑" w:eastAsia="微软雅黑"/>
              </w:rPr>
              <w:t>评论数据中</w:t>
            </w:r>
            <w:r>
              <w:rPr>
                <w:rFonts w:ascii="微软雅黑" w:hAnsi="微软雅黑" w:eastAsia="微软雅黑"/>
              </w:rPr>
              <w:t>抽取</w:t>
            </w:r>
            <w:r>
              <w:rPr>
                <w:rFonts w:hint="eastAsia" w:ascii="微软雅黑" w:hAnsi="微软雅黑" w:eastAsia="微软雅黑"/>
              </w:rPr>
              <w:t>语义</w:t>
            </w:r>
            <w:r>
              <w:rPr>
                <w:rFonts w:ascii="微软雅黑" w:hAnsi="微软雅黑" w:eastAsia="微软雅黑"/>
              </w:rPr>
              <w:t>特征信息</w:t>
            </w:r>
          </w:p>
          <w:p>
            <w:pPr>
              <w:pStyle w:val="10"/>
              <w:numPr>
                <w:ilvl w:val="0"/>
                <w:numId w:val="2"/>
              </w:numPr>
              <w:spacing w:line="0" w:lineRule="atLeast"/>
              <w:ind w:firstLineChars="0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根据用户想购买的书籍的一般性描述为用户推荐合适的书籍</w:t>
            </w:r>
          </w:p>
        </w:tc>
      </w:tr>
    </w:tbl>
    <w:p>
      <w:pPr>
        <w:widowControl/>
        <w:autoSpaceDE/>
        <w:autoSpaceDN/>
        <w:adjustRightInd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br w:type="page"/>
      </w:r>
    </w:p>
    <w:p>
      <w:pPr>
        <w:widowControl/>
        <w:autoSpaceDE/>
        <w:autoSpaceDN/>
        <w:adjustRightInd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jc w:val="center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jc w:val="center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jc w:val="center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jc w:val="center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ascii="宋体"/>
        </w:rPr>
        <w:drawing>
          <wp:inline distT="0" distB="0" distL="0" distR="0">
            <wp:extent cx="5210175" cy="3676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jc w:val="center"/>
        <w:rPr>
          <w:rFonts w:ascii="微软雅黑" w:hAnsi="微软雅黑" w:eastAsia="微软雅黑"/>
          <w:sz w:val="18"/>
          <w:szCs w:val="18"/>
        </w:rPr>
      </w:pPr>
    </w:p>
    <w:p>
      <w:pPr>
        <w:spacing w:line="0" w:lineRule="atLeast"/>
        <w:jc w:val="center"/>
        <w:rPr>
          <w:rFonts w:ascii="微软雅黑" w:hAnsi="微软雅黑" w:eastAsia="微软雅黑"/>
          <w:sz w:val="18"/>
          <w:szCs w:val="18"/>
        </w:rPr>
      </w:pPr>
      <w:r>
        <w:drawing>
          <wp:inline distT="0" distB="0" distL="0" distR="0">
            <wp:extent cx="5274310" cy="36315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656" w:right="1080" w:bottom="531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0076"/>
    <w:multiLevelType w:val="multilevel"/>
    <w:tmpl w:val="215F00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4C2D36"/>
    <w:multiLevelType w:val="multilevel"/>
    <w:tmpl w:val="674C2D36"/>
    <w:lvl w:ilvl="0" w:tentative="0">
      <w:start w:val="1"/>
      <w:numFmt w:val="bullet"/>
      <w:lvlText w:val=""/>
      <w:lvlJc w:val="left"/>
      <w:pPr>
        <w:ind w:left="1154" w:hanging="420"/>
      </w:pPr>
      <w:rPr>
        <w:rFonts w:hint="default" w:ascii="Wingdings" w:hAnsi="Wingdings"/>
        <w:color w:val="5B9BD5" w:themeColor="accent1"/>
        <w:sz w:val="20"/>
        <w14:textFill>
          <w14:solidFill>
            <w14:schemeClr w14:val="accent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15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4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1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9"/>
    <w:rsid w:val="000030F9"/>
    <w:rsid w:val="0000494A"/>
    <w:rsid w:val="000164F8"/>
    <w:rsid w:val="0001696E"/>
    <w:rsid w:val="0005068E"/>
    <w:rsid w:val="00053F65"/>
    <w:rsid w:val="00054F8A"/>
    <w:rsid w:val="00072F1A"/>
    <w:rsid w:val="00074335"/>
    <w:rsid w:val="00092614"/>
    <w:rsid w:val="000A4A91"/>
    <w:rsid w:val="000C1F4F"/>
    <w:rsid w:val="000E76DC"/>
    <w:rsid w:val="00114C83"/>
    <w:rsid w:val="00116801"/>
    <w:rsid w:val="00134DF9"/>
    <w:rsid w:val="0013572B"/>
    <w:rsid w:val="001519AB"/>
    <w:rsid w:val="0017263D"/>
    <w:rsid w:val="00184C5D"/>
    <w:rsid w:val="00185613"/>
    <w:rsid w:val="0018721F"/>
    <w:rsid w:val="0019281B"/>
    <w:rsid w:val="001A03E5"/>
    <w:rsid w:val="001C3B82"/>
    <w:rsid w:val="001C5180"/>
    <w:rsid w:val="001C7316"/>
    <w:rsid w:val="001E4607"/>
    <w:rsid w:val="001E7111"/>
    <w:rsid w:val="002130B6"/>
    <w:rsid w:val="00227F54"/>
    <w:rsid w:val="00234C36"/>
    <w:rsid w:val="002504F1"/>
    <w:rsid w:val="00250509"/>
    <w:rsid w:val="002521B4"/>
    <w:rsid w:val="00254D1B"/>
    <w:rsid w:val="00271406"/>
    <w:rsid w:val="00282635"/>
    <w:rsid w:val="00285103"/>
    <w:rsid w:val="00286C61"/>
    <w:rsid w:val="002B4746"/>
    <w:rsid w:val="002B53FE"/>
    <w:rsid w:val="002E0574"/>
    <w:rsid w:val="002F58D5"/>
    <w:rsid w:val="00316CE0"/>
    <w:rsid w:val="003306AE"/>
    <w:rsid w:val="00331C2B"/>
    <w:rsid w:val="0033476A"/>
    <w:rsid w:val="00340EC4"/>
    <w:rsid w:val="00355506"/>
    <w:rsid w:val="00361B5D"/>
    <w:rsid w:val="003C3007"/>
    <w:rsid w:val="003E5EFC"/>
    <w:rsid w:val="00406F5B"/>
    <w:rsid w:val="004078FF"/>
    <w:rsid w:val="004171C2"/>
    <w:rsid w:val="004279F1"/>
    <w:rsid w:val="004377E9"/>
    <w:rsid w:val="004434AE"/>
    <w:rsid w:val="00443DA3"/>
    <w:rsid w:val="00446D3A"/>
    <w:rsid w:val="004561DE"/>
    <w:rsid w:val="00473126"/>
    <w:rsid w:val="00485BF0"/>
    <w:rsid w:val="004A5D88"/>
    <w:rsid w:val="004C12C8"/>
    <w:rsid w:val="004C7D07"/>
    <w:rsid w:val="004D5248"/>
    <w:rsid w:val="004E65D1"/>
    <w:rsid w:val="004F3E87"/>
    <w:rsid w:val="004F7A73"/>
    <w:rsid w:val="005040D2"/>
    <w:rsid w:val="00521FCA"/>
    <w:rsid w:val="00531027"/>
    <w:rsid w:val="00566861"/>
    <w:rsid w:val="0057347F"/>
    <w:rsid w:val="00592927"/>
    <w:rsid w:val="005B7A47"/>
    <w:rsid w:val="005C2790"/>
    <w:rsid w:val="005D1157"/>
    <w:rsid w:val="005D6B63"/>
    <w:rsid w:val="005D7249"/>
    <w:rsid w:val="00603A32"/>
    <w:rsid w:val="00604445"/>
    <w:rsid w:val="006121F9"/>
    <w:rsid w:val="006148F2"/>
    <w:rsid w:val="0062345B"/>
    <w:rsid w:val="006460F9"/>
    <w:rsid w:val="0065025F"/>
    <w:rsid w:val="00651370"/>
    <w:rsid w:val="006649C3"/>
    <w:rsid w:val="00667899"/>
    <w:rsid w:val="006766DC"/>
    <w:rsid w:val="006818C9"/>
    <w:rsid w:val="00696CA6"/>
    <w:rsid w:val="00697215"/>
    <w:rsid w:val="006A2A27"/>
    <w:rsid w:val="006D21DA"/>
    <w:rsid w:val="006E714D"/>
    <w:rsid w:val="006E790D"/>
    <w:rsid w:val="007205C5"/>
    <w:rsid w:val="00733FBE"/>
    <w:rsid w:val="00756E15"/>
    <w:rsid w:val="00785BF0"/>
    <w:rsid w:val="007900C3"/>
    <w:rsid w:val="00795DA2"/>
    <w:rsid w:val="007C5935"/>
    <w:rsid w:val="0082303F"/>
    <w:rsid w:val="00831778"/>
    <w:rsid w:val="00841BB8"/>
    <w:rsid w:val="0084683B"/>
    <w:rsid w:val="00861CA7"/>
    <w:rsid w:val="00867EF0"/>
    <w:rsid w:val="0087058E"/>
    <w:rsid w:val="00870EE9"/>
    <w:rsid w:val="008721A7"/>
    <w:rsid w:val="00876EE0"/>
    <w:rsid w:val="0088173B"/>
    <w:rsid w:val="00882E03"/>
    <w:rsid w:val="00883F51"/>
    <w:rsid w:val="008A356E"/>
    <w:rsid w:val="008A6644"/>
    <w:rsid w:val="008C452B"/>
    <w:rsid w:val="009177F8"/>
    <w:rsid w:val="00921C7F"/>
    <w:rsid w:val="00942DD1"/>
    <w:rsid w:val="00944EB1"/>
    <w:rsid w:val="009520D3"/>
    <w:rsid w:val="00960B2A"/>
    <w:rsid w:val="00962F2E"/>
    <w:rsid w:val="00986224"/>
    <w:rsid w:val="009A285A"/>
    <w:rsid w:val="009A6D72"/>
    <w:rsid w:val="009B55C2"/>
    <w:rsid w:val="009C1226"/>
    <w:rsid w:val="009C37C0"/>
    <w:rsid w:val="009D6C2C"/>
    <w:rsid w:val="009D7B7A"/>
    <w:rsid w:val="009F46BE"/>
    <w:rsid w:val="00A05A22"/>
    <w:rsid w:val="00A1067F"/>
    <w:rsid w:val="00A268B9"/>
    <w:rsid w:val="00A56284"/>
    <w:rsid w:val="00A61EC3"/>
    <w:rsid w:val="00A74134"/>
    <w:rsid w:val="00A84FC2"/>
    <w:rsid w:val="00A90C98"/>
    <w:rsid w:val="00AB6B5B"/>
    <w:rsid w:val="00AC4FD6"/>
    <w:rsid w:val="00AC7E5A"/>
    <w:rsid w:val="00AE4C1E"/>
    <w:rsid w:val="00AF1F3F"/>
    <w:rsid w:val="00AF4B15"/>
    <w:rsid w:val="00B0099C"/>
    <w:rsid w:val="00B212BB"/>
    <w:rsid w:val="00B261D3"/>
    <w:rsid w:val="00B34910"/>
    <w:rsid w:val="00B37CE4"/>
    <w:rsid w:val="00B6244E"/>
    <w:rsid w:val="00B73A5C"/>
    <w:rsid w:val="00BB3B16"/>
    <w:rsid w:val="00BB691B"/>
    <w:rsid w:val="00BF7665"/>
    <w:rsid w:val="00BF7FE4"/>
    <w:rsid w:val="00C148A7"/>
    <w:rsid w:val="00C22807"/>
    <w:rsid w:val="00C577D6"/>
    <w:rsid w:val="00C61A81"/>
    <w:rsid w:val="00C61F7A"/>
    <w:rsid w:val="00CA401A"/>
    <w:rsid w:val="00CC18C5"/>
    <w:rsid w:val="00CC442A"/>
    <w:rsid w:val="00CF62A4"/>
    <w:rsid w:val="00D03387"/>
    <w:rsid w:val="00D0346D"/>
    <w:rsid w:val="00D0535E"/>
    <w:rsid w:val="00D37828"/>
    <w:rsid w:val="00D407C1"/>
    <w:rsid w:val="00D43564"/>
    <w:rsid w:val="00D45B50"/>
    <w:rsid w:val="00D53525"/>
    <w:rsid w:val="00D573F8"/>
    <w:rsid w:val="00D742C3"/>
    <w:rsid w:val="00D85650"/>
    <w:rsid w:val="00D925AB"/>
    <w:rsid w:val="00DC472F"/>
    <w:rsid w:val="00DE4CC7"/>
    <w:rsid w:val="00DE5561"/>
    <w:rsid w:val="00DE60E3"/>
    <w:rsid w:val="00E139F5"/>
    <w:rsid w:val="00E271CB"/>
    <w:rsid w:val="00E32F59"/>
    <w:rsid w:val="00E46534"/>
    <w:rsid w:val="00E65DB8"/>
    <w:rsid w:val="00E76C1D"/>
    <w:rsid w:val="00E9232C"/>
    <w:rsid w:val="00EA3E55"/>
    <w:rsid w:val="00EC45DF"/>
    <w:rsid w:val="00F13E32"/>
    <w:rsid w:val="00F2137D"/>
    <w:rsid w:val="00F3497D"/>
    <w:rsid w:val="00F379CE"/>
    <w:rsid w:val="00F44BD5"/>
    <w:rsid w:val="00F53882"/>
    <w:rsid w:val="00F76DA3"/>
    <w:rsid w:val="00F848CE"/>
    <w:rsid w:val="00FA336C"/>
    <w:rsid w:val="00FC137E"/>
    <w:rsid w:val="00FD0485"/>
    <w:rsid w:val="00FD7A36"/>
    <w:rsid w:val="00FD7E41"/>
    <w:rsid w:val="00FE1EEE"/>
    <w:rsid w:val="088E41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autoSpaceDE/>
      <w:autoSpaceDN/>
      <w:adjustRightIn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color w:val="auto"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3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132;&#20114;&#35774;&#35745;-&#24212;&#23626;-&#20256;&#32479;&#34920;&#26684;&#2433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A1ACD-8454-44CA-8930-E4D1C01EA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交互设计-应届-传统表格式.dotx</Template>
  <Company>Microsoft IT</Company>
  <Pages>3</Pages>
  <Words>411</Words>
  <Characters>2346</Characters>
  <Lines>19</Lines>
  <Paragraphs>5</Paragraphs>
  <TotalTime>0</TotalTime>
  <ScaleCrop>false</ScaleCrop>
  <LinksUpToDate>false</LinksUpToDate>
  <CharactersWithSpaces>2752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2016-10-30T13:30:00Z</dcterms:created>
  <dc:creator>Administrator</dc:creator>
  <cp:lastModifiedBy>Administrator</cp:lastModifiedBy>
  <cp:lastPrinted>2015-10-28T06:15:00Z</cp:lastPrinted>
  <dcterms:modified xsi:type="dcterms:W3CDTF">2016-12-21T08:19:22Z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